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97E" w:rsidRPr="006D097E" w:rsidRDefault="006D097E" w:rsidP="006D097E">
      <w:pPr>
        <w:pStyle w:val="a5"/>
        <w:rPr>
          <w:lang w:eastAsia="ru-RU"/>
        </w:rPr>
      </w:pPr>
      <w:r w:rsidRPr="006D097E">
        <w:rPr>
          <w:lang w:eastAsia="ru-RU"/>
        </w:rPr>
        <w:t>ЛИЯНИЯ И ПОГЛОЩЕНИЯ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Законодательство Республики Казахстан проводить сделки по Слиянию и Поглощению, используя следующие юридические конструкции: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· приобретение долей участия/акций в ТОО /АО;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· приобретение основного имущества у действующего юридического лица (промышленное оборудование, недвижимость и т. д.);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· заключение договора франчайзинга, приобретение прав на интеллектуальную собственность;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· продажа предприятия как имущественного комплекса.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b/>
          <w:bCs/>
          <w:color w:val="2F2F2F"/>
          <w:sz w:val="21"/>
          <w:szCs w:val="21"/>
          <w:lang w:eastAsia="ru-RU"/>
        </w:rPr>
        <w:t>Сравнение двух наиболее распространенных способов приобретения бизнеса:</w:t>
      </w:r>
    </w:p>
    <w:tbl>
      <w:tblPr>
        <w:tblW w:w="103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119"/>
        <w:gridCol w:w="2969"/>
        <w:gridCol w:w="3554"/>
      </w:tblGrid>
      <w:tr w:rsidR="006D097E" w:rsidRPr="006D097E" w:rsidTr="006D097E">
        <w:tc>
          <w:tcPr>
            <w:tcW w:w="70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B4C6E7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B4C6E7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Критерий сравнения</w:t>
            </w:r>
          </w:p>
        </w:tc>
        <w:tc>
          <w:tcPr>
            <w:tcW w:w="297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B4C6E7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Приобретение долей участия/акций компании</w:t>
            </w:r>
          </w:p>
        </w:tc>
        <w:tc>
          <w:tcPr>
            <w:tcW w:w="35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B4C6E7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Приобретение основных активов компании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Скорость приобретения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Как правило, высокая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Как правило, ниже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Сопутствующие расходы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Низкие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Могут быть значительными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«Исторические» риски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Сохраняются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Минимизируются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Специальные разрешения, лицензии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Сохраняются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Не сохраняются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Контракты с контрагентами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Сохраняются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Не сохраняются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vAlign w:val="center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Обязательства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Сохраняются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Как правило, не сохраняются</w:t>
            </w:r>
          </w:p>
        </w:tc>
      </w:tr>
      <w:tr w:rsidR="006D097E" w:rsidRPr="006D097E" w:rsidTr="006D097E">
        <w:tc>
          <w:tcPr>
            <w:tcW w:w="70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312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Налоги на сделки</w:t>
            </w:r>
          </w:p>
        </w:tc>
        <w:tc>
          <w:tcPr>
            <w:tcW w:w="29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000000"/>
                <w:sz w:val="21"/>
                <w:szCs w:val="21"/>
                <w:lang w:eastAsia="ru-RU"/>
              </w:rPr>
              <w:t>Нет НДС</w:t>
            </w:r>
          </w:p>
        </w:tc>
        <w:tc>
          <w:tcPr>
            <w:tcW w:w="355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000000"/>
                <w:sz w:val="21"/>
                <w:szCs w:val="21"/>
                <w:lang w:eastAsia="ru-RU"/>
              </w:rPr>
              <w:t>Есть НДС</w:t>
            </w:r>
          </w:p>
        </w:tc>
      </w:tr>
    </w:tbl>
    <w:p w:rsidR="006D097E" w:rsidRPr="006D097E" w:rsidRDefault="006D097E" w:rsidP="006D097E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6D097E">
        <w:rPr>
          <w:rFonts w:ascii="Roboto" w:hAnsi="Roboto"/>
          <w:b/>
          <w:bCs/>
          <w:color w:val="2F2F2F"/>
          <w:sz w:val="21"/>
          <w:szCs w:val="21"/>
          <w:shd w:val="clear" w:color="auto" w:fill="FFFFFF"/>
          <w:lang w:eastAsia="ru-RU"/>
        </w:rPr>
        <w:br/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b/>
          <w:bCs/>
          <w:color w:val="2F2F2F"/>
          <w:sz w:val="21"/>
          <w:szCs w:val="21"/>
          <w:lang w:eastAsia="ru-RU"/>
        </w:rPr>
        <w:t>Отраслевые и национальные особенности сделок по Слияниям и Поглощениям </w:t>
      </w:r>
      <w:r w:rsidRPr="006D097E">
        <w:rPr>
          <w:rFonts w:ascii="Roboto" w:hAnsi="Roboto"/>
          <w:color w:val="2F2F2F"/>
          <w:sz w:val="21"/>
          <w:szCs w:val="21"/>
          <w:lang w:eastAsia="ru-RU"/>
        </w:rPr>
        <w:br/>
        <w:t>Некоторые примеры сделок, требующих согласования (разрешения, уведомления) с казахстанскими государственными органами:</w:t>
      </w:r>
    </w:p>
    <w:tbl>
      <w:tblPr>
        <w:tblW w:w="1049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9875"/>
      </w:tblGrid>
      <w:tr w:rsidR="006D097E" w:rsidRPr="006D097E" w:rsidTr="006D097E">
        <w:tc>
          <w:tcPr>
            <w:tcW w:w="1048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B4C6E7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В отношении финансовых организаций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1.   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Приобретение статуса крупного участника банка / банковского холдинга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2.   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Получения разрешения на создание страховой (перестраховочной) организации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3.   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Получение страховой (перестраховочной) организацией и страховым холдингом разрешения на создание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или приобретение дочерней организации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4.   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Получения разрешения на добровольную реорганизацию страховой (перестраховочной) организации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Приобретение статуса крупного участника страховой организации / страхового холдинга</w:t>
            </w:r>
          </w:p>
        </w:tc>
      </w:tr>
      <w:tr w:rsidR="006D097E" w:rsidRPr="006D097E" w:rsidTr="006D097E">
        <w:tc>
          <w:tcPr>
            <w:tcW w:w="10485" w:type="dxa"/>
            <w:gridSpan w:val="2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В отношении антимонопольного законодательства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6. 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Подача ходатайства в антимонопольный орган о предоставлении согласия на экономическую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концентрацию в следующих случаях: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1)  реорганизация субъекта рынка путем слияния или присоединения;</w:t>
            </w:r>
          </w:p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2)  приобретение лицом (группой лиц) голосующих акций (долей участия в уставном капитале, паев) субъекта рынка, при котором такое лицо (группа лиц) получает право распоряжаться более чем пятьюдесятью процентами указанных акций (долей участия в уставном капитале, паев), если до приобретения такое лицо (группа лиц) не распоряжалось (не </w:t>
            </w:r>
            <w:proofErr w:type="gramStart"/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распоряжалась)  акциями</w:t>
            </w:r>
            <w:proofErr w:type="gramEnd"/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(долями участия в уставном капитале, паями) данного субъекта рынка или распоряжалось пятьюдесятью или менее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процентами голосующих акций (долей участия в уставном капитале, паев) указанного субъекта рынка;</w:t>
            </w:r>
          </w:p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3)  получение в собственность, владение и пользование, в том числе в счет оплаты (передачи) уставного капитала, субъектом рынка (группой лиц) основных производственных средств и (или) нематериальных активов другого субъекта рынка, если балансовая стоимость имущества, составляющего предмет сделки (взаимосвязанных сделок), превышает десять процентов балансовой стоимости основных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производственных средств и нематериальных активов субъекта рынка, отчуждающего или передающего имущество.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7. 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Подача уведомления в антимонопольный орган о заключении сделок, признаваемых экономической концентрацией в следующих случаях: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1) приобретение субъектом рынка прав (в том числе на основании договора о доверительном управлении, договора о совместной деятельности, договора поручения), позволяющих давать обязательные для исполнения указания другому субъекту рынка при ведении им предпринимательской деятельности либо осуществлять функции его исполнительного органа;</w:t>
            </w:r>
          </w:p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2) участие одних и тех же физических лиц в исполнительных органах, советах директоров,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наблюдательных советах или других органах управления двух и более субъектов рынка при условии определения указанными физическими лицами в данных субъектах условий ведения их предпринимательской деятельности.</w:t>
            </w:r>
          </w:p>
        </w:tc>
      </w:tr>
      <w:tr w:rsidR="006D097E" w:rsidRPr="006D097E" w:rsidTr="006D097E">
        <w:tc>
          <w:tcPr>
            <w:tcW w:w="10485" w:type="dxa"/>
            <w:gridSpan w:val="2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В отношении законодательства о недрах и недропользовании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lastRenderedPageBreak/>
              <w:t>8.   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Соблюдение приоритетного права государства на приобретение отчуждаемого по возмездным и безвозмездным основаниям права недропользования (его части) и (или) объектов, связанных с правом недропользования в отношении участков недр, месторождений, имеющих стратегическое значение.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9.   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Подача заявления о выдаче разрешения на отчуждение права недропользования и связанных с ним прав.</w:t>
            </w:r>
          </w:p>
        </w:tc>
      </w:tr>
      <w:tr w:rsidR="006D097E" w:rsidRPr="006D097E" w:rsidTr="006D097E">
        <w:tc>
          <w:tcPr>
            <w:tcW w:w="10485" w:type="dxa"/>
            <w:gridSpan w:val="2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В отношении стратегических объектов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10.   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Получение разрешения Правительства на обременение стратегических объектов либо их отчуждение.</w:t>
            </w:r>
          </w:p>
        </w:tc>
      </w:tr>
      <w:tr w:rsidR="006D097E" w:rsidRPr="006D097E" w:rsidTr="006D097E">
        <w:tc>
          <w:tcPr>
            <w:tcW w:w="615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987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Соблюдение приоритетного права покупки стратегического объекта по рыночной стоимости (право принадлежит Правительству Республики Казахстан, а также по его решению – национальному управляющему холдингу).</w:t>
            </w:r>
          </w:p>
        </w:tc>
      </w:tr>
    </w:tbl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b/>
          <w:bCs/>
          <w:color w:val="2F2F2F"/>
          <w:sz w:val="21"/>
          <w:szCs w:val="21"/>
          <w:lang w:eastAsia="ru-RU"/>
        </w:rPr>
        <w:t>Ограничения для иностранного участия в юридических лицах Республики Казахстан</w:t>
      </w:r>
    </w:p>
    <w:p w:rsidR="006D097E" w:rsidRPr="006D097E" w:rsidRDefault="006D097E" w:rsidP="006D097E">
      <w:pPr>
        <w:pStyle w:val="a5"/>
        <w:rPr>
          <w:rFonts w:ascii="Roboto" w:hAnsi="Roboto"/>
          <w:color w:val="2F2F2F"/>
          <w:sz w:val="21"/>
          <w:szCs w:val="21"/>
          <w:lang w:eastAsia="ru-RU"/>
        </w:rPr>
      </w:pPr>
      <w:r w:rsidRPr="006D097E">
        <w:rPr>
          <w:rFonts w:ascii="Roboto" w:hAnsi="Roboto"/>
          <w:color w:val="2F2F2F"/>
          <w:sz w:val="21"/>
          <w:szCs w:val="21"/>
          <w:lang w:eastAsia="ru-RU"/>
        </w:rPr>
        <w:t>Несмотря на то, что законодательство Республики Казахстан предусматривает национальный режим для иностранных инвесторов, существуют некоторые ограничения для иностранного участия в юридических лицах Республики Казахстан.  Приведенная ниже таблица содержит перечень подобных ограничений, которые наиболее распространены:</w:t>
      </w:r>
    </w:p>
    <w:tbl>
      <w:tblPr>
        <w:tblW w:w="1049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9840"/>
      </w:tblGrid>
      <w:tr w:rsidR="006D097E" w:rsidRPr="006D097E" w:rsidTr="006D097E">
        <w:tc>
          <w:tcPr>
            <w:tcW w:w="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9CC2E5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</w:p>
        </w:tc>
        <w:tc>
          <w:tcPr>
            <w:tcW w:w="984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9CC2E5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000000"/>
                <w:sz w:val="21"/>
                <w:szCs w:val="21"/>
                <w:lang w:eastAsia="ru-RU"/>
              </w:rPr>
              <w:t>Ограничения, установленные законодательством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1.      1.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Иностранным физическим и юридическим лицам запрещается прямо и (или) косвенно владеть, пользоваться, распоряжаться и (или) управлять более 20% акций (долей, паев) юридического лица - собственника средства массовой информации в Республики Казахстан или осуществляющего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деятельность в этой сфере.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Иностранцам, лицами без гражданства и иностранными юридическими лицами без создания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юридического лица на территории Республики Казахстан запрещается управление или эксплуатация магистральными линиями связи,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Физическим и юридическим лицами запрещается приобретение или иное получение в собственность самостоятельно или в составе группы лиц более 10% голосующих акций, а также долей, паев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организации, владеющей и (или) осуществляющей деятельность по управлению или эксплуатации линии связи в качестве оператора междугородной и (или) международной связи, без согласия уполномоченного органа в области связи и информации, а также органов национальной безопасности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Иностранцам, лицам без гражданства и иностранным юридическим лицам запрещается прямо и (или) косвенно владеть, пользоваться, распоряжаться и (или) управлять в совокупности более чем 49% голосующих акций, а также долей, паев юридического лица, осуществляющего деятельность в области телекоммуникаций в качестве оператора междугородной и (или) международной связи, владеющего наземными (кабельными, в том числе волоконно-оптическими, радиорелейными) линиями связи без положительного решения Правительства Республики Казахстан, основанного на заключении уполномоченного органа в области связи и информации, согласованного с органами национальной безопасности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Юридические лица, зарегистрированные в оффшорных зонах, не вправе прямо или косвенно владеть и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 (или) пользоваться, и (или) распоряжаться голосующими акциями страховых (перестраховочных) организаций — резидентов Республики Казахстан.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FFFFFF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Юридические лица, зарегистрированные в оффшорных зонах, не вправе прямо или косвенно владеть и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(или) пользоваться, и (или) распоряжаться голосующими акциями банков-резидентов Республики Казахстан.</w:t>
            </w:r>
          </w:p>
        </w:tc>
      </w:tr>
      <w:tr w:rsidR="006D097E" w:rsidRPr="006D097E" w:rsidTr="006D097E">
        <w:tc>
          <w:tcPr>
            <w:tcW w:w="65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b/>
                <w:bCs/>
                <w:color w:val="2F2F2F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9840" w:type="dxa"/>
            <w:tcBorders>
              <w:top w:val="single" w:sz="8" w:space="0" w:color="9CC2E5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DEEAF6"/>
            <w:hideMark/>
          </w:tcPr>
          <w:p w:rsid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Иностранцы, лица без гражданства, иностранные юридические лица, </w:t>
            </w:r>
            <w:proofErr w:type="spellStart"/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кандасы</w:t>
            </w:r>
            <w:proofErr w:type="spellEnd"/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 xml:space="preserve">, международные </w:t>
            </w:r>
          </w:p>
          <w:p w:rsidR="006D097E" w:rsidRPr="006D097E" w:rsidRDefault="006D097E" w:rsidP="006D097E">
            <w:pPr>
              <w:pStyle w:val="a5"/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</w:pPr>
            <w:r w:rsidRPr="006D097E">
              <w:rPr>
                <w:rFonts w:ascii="Roboto" w:hAnsi="Roboto"/>
                <w:color w:val="2F2F2F"/>
                <w:sz w:val="21"/>
                <w:szCs w:val="21"/>
                <w:lang w:eastAsia="ru-RU"/>
              </w:rPr>
              <w:t>организации не могут участниками/акционерами юридических лиц Республики Казахстан, которые обладают земельными участками сельскохозяйственного назначения на праве частной собственности или землепользования.</w:t>
            </w:r>
          </w:p>
        </w:tc>
      </w:tr>
    </w:tbl>
    <w:p w:rsidR="006D097E" w:rsidRDefault="006D097E" w:rsidP="006D097E">
      <w:pPr>
        <w:pStyle w:val="a5"/>
      </w:pPr>
    </w:p>
    <w:p w:rsidR="006D097E" w:rsidRDefault="006D097E" w:rsidP="006D097E">
      <w:pPr>
        <w:pStyle w:val="a5"/>
      </w:pPr>
    </w:p>
    <w:p w:rsidR="006D097E" w:rsidRPr="00F078BB" w:rsidRDefault="006D097E" w:rsidP="006D097E">
      <w:pPr>
        <w:ind w:left="-851"/>
        <w:jc w:val="center"/>
        <w:rPr>
          <w:b/>
          <w:sz w:val="28"/>
          <w:szCs w:val="28"/>
        </w:rPr>
      </w:pPr>
      <w:r w:rsidRPr="00F078BB">
        <w:rPr>
          <w:b/>
          <w:sz w:val="28"/>
          <w:szCs w:val="28"/>
        </w:rPr>
        <w:t>Задания для самостоятельной работы:</w:t>
      </w:r>
    </w:p>
    <w:p w:rsidR="006D097E" w:rsidRDefault="006D097E" w:rsidP="006D097E">
      <w:pPr>
        <w:shd w:val="clear" w:color="auto" w:fill="FFFFFF"/>
        <w:spacing w:before="400"/>
        <w:ind w:left="-851"/>
        <w:jc w:val="both"/>
        <w:rPr>
          <w:color w:val="2E5C8A"/>
          <w:sz w:val="27"/>
          <w:szCs w:val="27"/>
          <w:lang w:eastAsia="ru-RU"/>
        </w:rPr>
      </w:pPr>
      <w:r>
        <w:rPr>
          <w:color w:val="2E5C8A"/>
          <w:sz w:val="27"/>
          <w:szCs w:val="27"/>
          <w:lang w:eastAsia="ru-RU"/>
        </w:rPr>
        <w:t xml:space="preserve">Подготовить письменно в печатном </w:t>
      </w:r>
      <w:proofErr w:type="gramStart"/>
      <w:r>
        <w:rPr>
          <w:color w:val="2E5C8A"/>
          <w:sz w:val="27"/>
          <w:szCs w:val="27"/>
          <w:lang w:eastAsia="ru-RU"/>
        </w:rPr>
        <w:t>виде,  правильное</w:t>
      </w:r>
      <w:proofErr w:type="gramEnd"/>
      <w:r>
        <w:rPr>
          <w:color w:val="2E5C8A"/>
          <w:sz w:val="27"/>
          <w:szCs w:val="27"/>
          <w:lang w:eastAsia="ru-RU"/>
        </w:rPr>
        <w:t xml:space="preserve"> оформления</w:t>
      </w:r>
    </w:p>
    <w:p w:rsidR="006D097E" w:rsidRPr="00613FDA" w:rsidRDefault="006D097E" w:rsidP="006D097E">
      <w:pPr>
        <w:shd w:val="clear" w:color="auto" w:fill="FFFFFF"/>
        <w:spacing w:before="400"/>
        <w:ind w:left="-851"/>
        <w:jc w:val="both"/>
        <w:rPr>
          <w:rFonts w:ascii="Arial" w:hAnsi="Arial" w:cs="Arial"/>
          <w:color w:val="595959"/>
          <w:sz w:val="24"/>
          <w:szCs w:val="24"/>
          <w:lang w:eastAsia="ru-RU"/>
        </w:rPr>
      </w:pPr>
      <w:r>
        <w:rPr>
          <w:color w:val="2E5C8A"/>
          <w:sz w:val="27"/>
          <w:szCs w:val="27"/>
          <w:lang w:eastAsia="ru-RU"/>
        </w:rPr>
        <w:t xml:space="preserve">Расписать: </w:t>
      </w:r>
    </w:p>
    <w:p w:rsidR="006D097E" w:rsidRPr="006D097E" w:rsidRDefault="006D097E" w:rsidP="006D097E">
      <w:pPr>
        <w:shd w:val="clear" w:color="auto" w:fill="FFFFFF"/>
        <w:spacing w:before="400"/>
        <w:ind w:left="-851"/>
        <w:jc w:val="both"/>
        <w:rPr>
          <w:color w:val="2E5C8A"/>
          <w:sz w:val="27"/>
          <w:szCs w:val="27"/>
          <w:lang w:eastAsia="ru-RU"/>
        </w:rPr>
      </w:pPr>
      <w:r w:rsidRPr="006D097E">
        <w:rPr>
          <w:color w:val="2E5C8A"/>
          <w:sz w:val="27"/>
          <w:szCs w:val="27"/>
          <w:lang w:eastAsia="ru-RU"/>
        </w:rPr>
        <w:lastRenderedPageBreak/>
        <w:t>1</w:t>
      </w:r>
      <w:r>
        <w:rPr>
          <w:color w:val="2E5C8A"/>
          <w:sz w:val="27"/>
          <w:szCs w:val="27"/>
          <w:lang w:eastAsia="ru-RU"/>
        </w:rPr>
        <w:t>.</w:t>
      </w:r>
      <w:bookmarkStart w:id="0" w:name="_GoBack"/>
      <w:bookmarkEnd w:id="0"/>
      <w:r w:rsidRPr="006D097E">
        <w:rPr>
          <w:color w:val="2E5C8A"/>
          <w:sz w:val="27"/>
          <w:szCs w:val="27"/>
          <w:lang w:eastAsia="ru-RU"/>
        </w:rPr>
        <w:t>Реорганизация корпораций.</w:t>
      </w:r>
    </w:p>
    <w:p w:rsidR="000E601A" w:rsidRDefault="006D097E" w:rsidP="006D097E">
      <w:pPr>
        <w:shd w:val="clear" w:color="auto" w:fill="FFFFFF"/>
        <w:spacing w:before="400"/>
        <w:ind w:left="-851"/>
        <w:jc w:val="both"/>
      </w:pPr>
      <w:r w:rsidRPr="006D097E">
        <w:rPr>
          <w:color w:val="2E5C8A"/>
          <w:sz w:val="27"/>
          <w:szCs w:val="27"/>
          <w:lang w:eastAsia="ru-RU"/>
        </w:rPr>
        <w:t>2.</w:t>
      </w:r>
      <w:r w:rsidRPr="006D097E">
        <w:rPr>
          <w:color w:val="2E5C8A"/>
          <w:sz w:val="27"/>
          <w:szCs w:val="27"/>
          <w:lang w:eastAsia="ru-RU"/>
        </w:rPr>
        <w:t xml:space="preserve"> Слияние, поглощение компаний и их причины</w:t>
      </w:r>
      <w:r>
        <w:t>.</w:t>
      </w:r>
    </w:p>
    <w:sectPr w:rsidR="000E6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D8B"/>
    <w:rsid w:val="000E601A"/>
    <w:rsid w:val="006D097E"/>
    <w:rsid w:val="0092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919CD"/>
  <w15:chartTrackingRefBased/>
  <w15:docId w15:val="{63C8B8A8-1D31-4286-A938-DA25ED39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97E"/>
  </w:style>
  <w:style w:type="paragraph" w:styleId="1">
    <w:name w:val="heading 1"/>
    <w:basedOn w:val="a"/>
    <w:link w:val="10"/>
    <w:uiPriority w:val="9"/>
    <w:qFormat/>
    <w:rsid w:val="006D09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9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6D0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097E"/>
    <w:rPr>
      <w:b/>
      <w:bCs/>
    </w:rPr>
  </w:style>
  <w:style w:type="paragraph" w:styleId="a5">
    <w:name w:val="No Spacing"/>
    <w:uiPriority w:val="1"/>
    <w:qFormat/>
    <w:rsid w:val="006D09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35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6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1133</Words>
  <Characters>6462</Characters>
  <Application>Microsoft Office Word</Application>
  <DocSecurity>0</DocSecurity>
  <Lines>53</Lines>
  <Paragraphs>15</Paragraphs>
  <ScaleCrop>false</ScaleCrop>
  <Company/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2025-09-29T05:36:00Z</dcterms:created>
  <dcterms:modified xsi:type="dcterms:W3CDTF">2025-09-29T05:39:00Z</dcterms:modified>
</cp:coreProperties>
</file>